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D4A4A" w14:textId="77777777" w:rsidR="00911F37" w:rsidRDefault="00911F37" w:rsidP="008753D5">
      <w:pPr>
        <w:jc w:val="both"/>
        <w:rPr>
          <w:rFonts w:ascii="MyriadPro-Regular-SC700" w:hAnsi="MyriadPro-Regular-SC700" w:cs="MyriadPro-Regular-SC700"/>
          <w:b/>
          <w:color w:val="262626"/>
          <w:sz w:val="28"/>
          <w:szCs w:val="28"/>
        </w:rPr>
      </w:pPr>
      <w:r w:rsidRPr="00267F5E">
        <w:rPr>
          <w:noProof/>
          <w:sz w:val="20"/>
          <w:szCs w:val="20"/>
          <w:lang w:eastAsia="es-ES"/>
        </w:rPr>
        <w:drawing>
          <wp:inline distT="0" distB="0" distL="0" distR="0" wp14:anchorId="350C5DE5" wp14:editId="5A888F86">
            <wp:extent cx="5400040" cy="8794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1.pdf"/>
                    <pic:cNvPicPr/>
                  </pic:nvPicPr>
                  <pic:blipFill>
                    <a:blip r:embed="rId8">
                      <a:extLst>
                        <a:ext uri="{28A0092B-C50C-407E-A947-70E740481C1C}">
                          <a14:useLocalDpi xmlns:a14="http://schemas.microsoft.com/office/drawing/2010/main" val="0"/>
                        </a:ext>
                      </a:extLst>
                    </a:blip>
                    <a:stretch>
                      <a:fillRect/>
                    </a:stretch>
                  </pic:blipFill>
                  <pic:spPr>
                    <a:xfrm>
                      <a:off x="0" y="0"/>
                      <a:ext cx="5400040" cy="879475"/>
                    </a:xfrm>
                    <a:prstGeom prst="rect">
                      <a:avLst/>
                    </a:prstGeom>
                  </pic:spPr>
                </pic:pic>
              </a:graphicData>
            </a:graphic>
          </wp:inline>
        </w:drawing>
      </w:r>
    </w:p>
    <w:p w14:paraId="33A95AC2" w14:textId="77777777" w:rsidR="00911F37" w:rsidRDefault="00911F37" w:rsidP="008753D5">
      <w:pPr>
        <w:jc w:val="both"/>
        <w:rPr>
          <w:rFonts w:ascii="MyriadPro-Regular-SC700" w:hAnsi="MyriadPro-Regular-SC700" w:cs="MyriadPro-Regular-SC700"/>
          <w:b/>
          <w:color w:val="262626"/>
          <w:sz w:val="28"/>
          <w:szCs w:val="28"/>
        </w:rPr>
      </w:pPr>
    </w:p>
    <w:p w14:paraId="663C26D6" w14:textId="2E37F471" w:rsidR="009D35FE" w:rsidRDefault="00C571CD" w:rsidP="008753D5">
      <w:pPr>
        <w:jc w:val="both"/>
        <w:rPr>
          <w:rFonts w:ascii="MyriadPro-Regular-SC700" w:hAnsi="MyriadPro-Regular-SC700" w:cs="MyriadPro-Regular-SC700"/>
          <w:b/>
          <w:color w:val="262626"/>
          <w:sz w:val="28"/>
          <w:szCs w:val="28"/>
        </w:rPr>
      </w:pPr>
      <w:r w:rsidRPr="008753D5">
        <w:rPr>
          <w:rFonts w:ascii="MyriadPro-Regular-SC700" w:hAnsi="MyriadPro-Regular-SC700" w:cs="MyriadPro-Regular-SC700"/>
          <w:b/>
          <w:color w:val="262626"/>
          <w:sz w:val="28"/>
          <w:szCs w:val="28"/>
        </w:rPr>
        <w:t>La vivienda como factor de precariedad y desigualdad social</w:t>
      </w:r>
    </w:p>
    <w:p w14:paraId="3B0F6DED" w14:textId="3260F103" w:rsidR="00911F37" w:rsidRPr="008753D5" w:rsidRDefault="00911F37" w:rsidP="00911F37">
      <w:pPr>
        <w:jc w:val="right"/>
        <w:rPr>
          <w:rFonts w:ascii="MyriadPro-Regular-SC700" w:hAnsi="MyriadPro-Regular-SC700" w:cs="MyriadPro-Regular-SC700"/>
          <w:b/>
          <w:color w:val="262626"/>
          <w:sz w:val="28"/>
          <w:szCs w:val="28"/>
        </w:rPr>
      </w:pPr>
      <w:bookmarkStart w:id="0" w:name="_GoBack"/>
      <w:bookmarkEnd w:id="0"/>
      <w:r>
        <w:rPr>
          <w:rFonts w:ascii="MyriadPro-Regular-SC700" w:hAnsi="MyriadPro-Regular-SC700" w:cs="MyriadPro-Regular-SC700"/>
          <w:b/>
          <w:color w:val="262626"/>
          <w:sz w:val="28"/>
          <w:szCs w:val="28"/>
        </w:rPr>
        <w:t>Raúl Flores. FOESSA</w:t>
      </w:r>
    </w:p>
    <w:p w14:paraId="2CAAD7DB" w14:textId="77777777" w:rsidR="00EA27CA" w:rsidRDefault="00EA27CA" w:rsidP="008753D5">
      <w:pPr>
        <w:pStyle w:val="Prrafodelista"/>
        <w:numPr>
          <w:ilvl w:val="0"/>
          <w:numId w:val="4"/>
        </w:numPr>
        <w:jc w:val="both"/>
      </w:pPr>
      <w:r>
        <w:t>Una sociedad en etapa de bonanza que esconde una crisis estructural</w:t>
      </w:r>
    </w:p>
    <w:p w14:paraId="3127A68E" w14:textId="1B745DF5" w:rsidR="008753D5" w:rsidRPr="008753D5" w:rsidRDefault="009156F0" w:rsidP="008753D5">
      <w:pPr>
        <w:pStyle w:val="Prrafodelista"/>
        <w:numPr>
          <w:ilvl w:val="0"/>
          <w:numId w:val="4"/>
        </w:numPr>
        <w:jc w:val="both"/>
      </w:pPr>
      <w:r>
        <w:t>La evolución de la desigualdad y las condiciones de vida</w:t>
      </w:r>
    </w:p>
    <w:p w14:paraId="592D5FB0" w14:textId="2FBFFA39" w:rsidR="00EA27CA" w:rsidRDefault="009156F0" w:rsidP="008753D5">
      <w:pPr>
        <w:pStyle w:val="Prrafodelista"/>
        <w:numPr>
          <w:ilvl w:val="0"/>
          <w:numId w:val="4"/>
        </w:numPr>
        <w:jc w:val="both"/>
      </w:pPr>
      <w:r>
        <w:t>La vivienda desequilibra la relación entre ingresos y gastos</w:t>
      </w:r>
    </w:p>
    <w:p w14:paraId="3CBCD56E" w14:textId="5B29ABC4" w:rsidR="00C571CD" w:rsidRDefault="009156F0" w:rsidP="008753D5">
      <w:pPr>
        <w:pStyle w:val="Prrafodelista"/>
        <w:numPr>
          <w:ilvl w:val="0"/>
          <w:numId w:val="4"/>
        </w:numPr>
        <w:jc w:val="both"/>
      </w:pPr>
      <w:r>
        <w:t>La vivienda es un</w:t>
      </w:r>
      <w:r w:rsidRPr="00EA53F2">
        <w:t>a emergencia social real</w:t>
      </w:r>
    </w:p>
    <w:p w14:paraId="3354A56B" w14:textId="77777777" w:rsidR="00EA53F2" w:rsidRDefault="00EA27CA" w:rsidP="008753D5">
      <w:pPr>
        <w:pStyle w:val="Prrafodelista"/>
        <w:jc w:val="both"/>
      </w:pPr>
      <w:r>
        <w:t xml:space="preserve">4.1. </w:t>
      </w:r>
      <w:r w:rsidR="00EA53F2">
        <w:t>El fracaso del mandato constitucional: tres décadas de especulación inmobiliaria</w:t>
      </w:r>
      <w:r w:rsidR="00EA53F2">
        <w:tab/>
      </w:r>
    </w:p>
    <w:p w14:paraId="515AC626" w14:textId="77777777" w:rsidR="00EA53F2" w:rsidRDefault="008753D5" w:rsidP="008753D5">
      <w:pPr>
        <w:pStyle w:val="Prrafodelista"/>
        <w:jc w:val="both"/>
      </w:pPr>
      <w:r>
        <w:t xml:space="preserve">4.2. </w:t>
      </w:r>
      <w:r w:rsidR="00EA53F2">
        <w:t>Aumento desenfrenado de los precios</w:t>
      </w:r>
    </w:p>
    <w:p w14:paraId="22707633" w14:textId="77777777" w:rsidR="00EA53F2" w:rsidRDefault="00EA27CA" w:rsidP="008753D5">
      <w:pPr>
        <w:pStyle w:val="Prrafodelista"/>
        <w:jc w:val="both"/>
      </w:pPr>
      <w:r>
        <w:t>4.3 Una carencia significativa</w:t>
      </w:r>
      <w:r w:rsidR="00EA53F2">
        <w:t xml:space="preserve"> de vivienda social </w:t>
      </w:r>
    </w:p>
    <w:p w14:paraId="4F734690" w14:textId="77777777" w:rsidR="00EA53F2" w:rsidRDefault="00EA27CA" w:rsidP="008753D5">
      <w:pPr>
        <w:pStyle w:val="Prrafodelista"/>
        <w:jc w:val="both"/>
      </w:pPr>
      <w:r>
        <w:t xml:space="preserve">4.4. </w:t>
      </w:r>
      <w:r w:rsidR="00EA53F2">
        <w:t>¿El mito de la escasez? Las viviendas vacías conviven con la exclusión social</w:t>
      </w:r>
    </w:p>
    <w:p w14:paraId="1466D975" w14:textId="77777777" w:rsidR="00EA27CA" w:rsidRDefault="00EA27CA" w:rsidP="008753D5">
      <w:pPr>
        <w:pStyle w:val="Prrafodelista"/>
        <w:jc w:val="both"/>
      </w:pPr>
      <w:r>
        <w:t>4.5. El impacto en las condiciones de vida y en la exclusión social</w:t>
      </w:r>
    </w:p>
    <w:p w14:paraId="48B11A7F" w14:textId="77777777" w:rsidR="00EA27CA" w:rsidRDefault="00EA27CA" w:rsidP="008753D5">
      <w:pPr>
        <w:pStyle w:val="Prrafodelista"/>
        <w:jc w:val="both"/>
      </w:pPr>
      <w:r>
        <w:t>4.6. Las estrategias de las familias frente a la vivienda</w:t>
      </w:r>
    </w:p>
    <w:p w14:paraId="4D524E6E" w14:textId="64AB69DC" w:rsidR="00EA27CA" w:rsidRDefault="009156F0" w:rsidP="008753D5">
      <w:pPr>
        <w:pStyle w:val="Prrafodelista"/>
        <w:numPr>
          <w:ilvl w:val="0"/>
          <w:numId w:val="4"/>
        </w:numPr>
        <w:jc w:val="both"/>
      </w:pPr>
      <w:r>
        <w:t>Ideas para reflexionar</w:t>
      </w:r>
    </w:p>
    <w:p w14:paraId="6997B90F" w14:textId="77777777" w:rsidR="008753D5" w:rsidRPr="008753D5" w:rsidRDefault="008753D5" w:rsidP="008753D5">
      <w:pPr>
        <w:spacing w:before="100" w:beforeAutospacing="1" w:after="100" w:afterAutospacing="1" w:line="240" w:lineRule="auto"/>
        <w:jc w:val="both"/>
        <w:rPr>
          <w:rFonts w:eastAsia="Times New Roman" w:cstheme="minorHAnsi"/>
          <w:sz w:val="24"/>
          <w:szCs w:val="24"/>
          <w:lang w:eastAsia="es-ES"/>
        </w:rPr>
      </w:pPr>
      <w:r w:rsidRPr="008753D5">
        <w:rPr>
          <w:rFonts w:eastAsia="Times New Roman" w:cstheme="minorHAnsi"/>
          <w:sz w:val="24"/>
          <w:szCs w:val="24"/>
          <w:lang w:eastAsia="es-ES"/>
        </w:rPr>
        <w:t>Vivimos en una época paradójica donde los indicadores macroeconómicos proyectan una imagen de prosperidad que contrasta dramáticamente con la realidad cotidiana de millones de personas. Detrás de las cifras de crecimiento y los discursos de bonanza económica se esconde una crisis estructural profunda que encuentra en la vivienda uno de sus manifestaciones más evidentes y devastadoras.</w:t>
      </w:r>
    </w:p>
    <w:p w14:paraId="7CA37240" w14:textId="77777777" w:rsidR="008753D5" w:rsidRPr="008753D5" w:rsidRDefault="008753D5" w:rsidP="008753D5">
      <w:pPr>
        <w:spacing w:before="100" w:beforeAutospacing="1" w:after="100" w:afterAutospacing="1" w:line="240" w:lineRule="auto"/>
        <w:jc w:val="both"/>
        <w:rPr>
          <w:rFonts w:eastAsia="Times New Roman" w:cstheme="minorHAnsi"/>
          <w:sz w:val="24"/>
          <w:szCs w:val="24"/>
          <w:lang w:eastAsia="es-ES"/>
        </w:rPr>
      </w:pPr>
      <w:r w:rsidRPr="008753D5">
        <w:rPr>
          <w:rFonts w:eastAsia="Times New Roman" w:cstheme="minorHAnsi"/>
          <w:sz w:val="24"/>
          <w:szCs w:val="24"/>
          <w:lang w:eastAsia="es-ES"/>
        </w:rPr>
        <w:t>La evolución de la desigualdad social en las últimas décadas ha transformado radicalmente las condiciones de vida de amplios sectores de la población. Lo que antes constituía un derecho fundamental y una aspiración alcanzable para</w:t>
      </w:r>
      <w:r>
        <w:rPr>
          <w:rFonts w:eastAsia="Times New Roman" w:cstheme="minorHAnsi"/>
          <w:sz w:val="24"/>
          <w:szCs w:val="24"/>
          <w:lang w:eastAsia="es-ES"/>
        </w:rPr>
        <w:t xml:space="preserve"> los distintos estratos sociales</w:t>
      </w:r>
      <w:r w:rsidRPr="008753D5">
        <w:rPr>
          <w:rFonts w:eastAsia="Times New Roman" w:cstheme="minorHAnsi"/>
          <w:sz w:val="24"/>
          <w:szCs w:val="24"/>
          <w:lang w:eastAsia="es-ES"/>
        </w:rPr>
        <w:t xml:space="preserve">, se ha convertido en </w:t>
      </w:r>
      <w:r>
        <w:rPr>
          <w:rFonts w:eastAsia="Times New Roman" w:cstheme="minorHAnsi"/>
          <w:sz w:val="24"/>
          <w:szCs w:val="24"/>
          <w:lang w:eastAsia="es-ES"/>
        </w:rPr>
        <w:t>una bien necesario inalcanzable para una parte de la sociedad</w:t>
      </w:r>
      <w:r w:rsidRPr="008753D5">
        <w:rPr>
          <w:rFonts w:eastAsia="Times New Roman" w:cstheme="minorHAnsi"/>
          <w:sz w:val="24"/>
          <w:szCs w:val="24"/>
          <w:lang w:eastAsia="es-ES"/>
        </w:rPr>
        <w:t>. La vivienda ha dejado de ser un bien de uso para convertirse en un activo financiero, alterando profundamente la relación entre ingresos familiares y gastos básicos.</w:t>
      </w:r>
    </w:p>
    <w:p w14:paraId="2563007B" w14:textId="77777777" w:rsidR="008753D5" w:rsidRPr="008753D5" w:rsidRDefault="008753D5" w:rsidP="008753D5">
      <w:pPr>
        <w:spacing w:before="100" w:beforeAutospacing="1" w:after="100" w:afterAutospacing="1" w:line="240" w:lineRule="auto"/>
        <w:jc w:val="both"/>
        <w:rPr>
          <w:rFonts w:eastAsia="Times New Roman" w:cstheme="minorHAnsi"/>
          <w:sz w:val="24"/>
          <w:szCs w:val="24"/>
          <w:lang w:eastAsia="es-ES"/>
        </w:rPr>
      </w:pPr>
      <w:r w:rsidRPr="008753D5">
        <w:rPr>
          <w:rFonts w:eastAsia="Times New Roman" w:cstheme="minorHAnsi"/>
          <w:sz w:val="24"/>
          <w:szCs w:val="24"/>
          <w:lang w:eastAsia="es-ES"/>
        </w:rPr>
        <w:t>Esta transformación ha provocado un desequilibrio estructural que sitúa el acceso a la vivienda como el principal factor de tensión en los presupuestos familiares. Mientras los salarios se mantienen estancados o crecen a ritmos insignificantes, los costos habitacionales se han disparado de manera exponencial, consumiendo proporciones cada vez mayores de los ingresos familiares y limitando drásticamente las posibilidades de ahorro, inversión en educación, salud y otros aspectos fundamentales para el desarrollo personal y social.</w:t>
      </w:r>
    </w:p>
    <w:p w14:paraId="621632A4" w14:textId="77777777" w:rsidR="008753D5" w:rsidRPr="008753D5" w:rsidRDefault="008753D5" w:rsidP="008753D5">
      <w:pPr>
        <w:spacing w:before="100" w:beforeAutospacing="1" w:after="100" w:afterAutospacing="1" w:line="240" w:lineRule="auto"/>
        <w:jc w:val="both"/>
        <w:rPr>
          <w:rFonts w:eastAsia="Times New Roman" w:cstheme="minorHAnsi"/>
          <w:sz w:val="24"/>
          <w:szCs w:val="24"/>
          <w:lang w:eastAsia="es-ES"/>
        </w:rPr>
      </w:pPr>
      <w:r w:rsidRPr="008753D5">
        <w:rPr>
          <w:rFonts w:eastAsia="Times New Roman" w:cstheme="minorHAnsi"/>
          <w:sz w:val="24"/>
          <w:szCs w:val="24"/>
          <w:lang w:eastAsia="es-ES"/>
        </w:rPr>
        <w:t xml:space="preserve">La vivienda se ha convertido en una emergencia social real que trasciende las categorías tradicionales de análisis económico. El fracaso del mandato constitucional que garantiza el derecho a una vivienda digna se evidencia en tres décadas de especulación </w:t>
      </w:r>
      <w:r w:rsidRPr="008753D5">
        <w:rPr>
          <w:rFonts w:eastAsia="Times New Roman" w:cstheme="minorHAnsi"/>
          <w:sz w:val="24"/>
          <w:szCs w:val="24"/>
          <w:lang w:eastAsia="es-ES"/>
        </w:rPr>
        <w:lastRenderedPageBreak/>
        <w:t>inmobiliaria descontrolada</w:t>
      </w:r>
      <w:r>
        <w:rPr>
          <w:rFonts w:eastAsia="Times New Roman" w:cstheme="minorHAnsi"/>
          <w:sz w:val="24"/>
          <w:szCs w:val="24"/>
          <w:lang w:eastAsia="es-ES"/>
        </w:rPr>
        <w:t xml:space="preserve">. </w:t>
      </w:r>
      <w:r w:rsidRPr="008753D5">
        <w:rPr>
          <w:rFonts w:eastAsia="Times New Roman" w:cstheme="minorHAnsi"/>
          <w:sz w:val="24"/>
          <w:szCs w:val="24"/>
          <w:lang w:eastAsia="es-ES"/>
        </w:rPr>
        <w:t xml:space="preserve">El aumento desenfrenado de los precios, tanto de compra como de alquiler, ha generado una espiral de exclusión que afecta no solo a los sectores más vulnerables, sino también a las clases medias tradicionales. Paralelamente, la carencia significativa de vivienda social refleja la ausencia de políticas públicas efectivas, mientras persiste el mito de la escasez habitacional en contextos donde abundan las viviendas vacías </w:t>
      </w:r>
      <w:r>
        <w:rPr>
          <w:rFonts w:eastAsia="Times New Roman" w:cstheme="minorHAnsi"/>
          <w:sz w:val="24"/>
          <w:szCs w:val="24"/>
          <w:lang w:eastAsia="es-ES"/>
        </w:rPr>
        <w:t xml:space="preserve">o viviendas </w:t>
      </w:r>
      <w:r w:rsidRPr="008753D5">
        <w:rPr>
          <w:rFonts w:eastAsia="Times New Roman" w:cstheme="minorHAnsi"/>
          <w:sz w:val="24"/>
          <w:szCs w:val="24"/>
          <w:lang w:eastAsia="es-ES"/>
        </w:rPr>
        <w:t>destinadas a la especulación.</w:t>
      </w:r>
    </w:p>
    <w:p w14:paraId="08A1B41E" w14:textId="77777777" w:rsidR="008753D5" w:rsidRPr="008753D5" w:rsidRDefault="008753D5" w:rsidP="008753D5">
      <w:pPr>
        <w:spacing w:before="100" w:beforeAutospacing="1" w:after="100" w:afterAutospacing="1" w:line="240" w:lineRule="auto"/>
        <w:jc w:val="both"/>
        <w:rPr>
          <w:rFonts w:eastAsia="Times New Roman" w:cstheme="minorHAnsi"/>
          <w:sz w:val="24"/>
          <w:szCs w:val="24"/>
          <w:lang w:eastAsia="es-ES"/>
        </w:rPr>
      </w:pPr>
      <w:r w:rsidRPr="008753D5">
        <w:rPr>
          <w:rFonts w:eastAsia="Times New Roman" w:cstheme="minorHAnsi"/>
          <w:sz w:val="24"/>
          <w:szCs w:val="24"/>
          <w:lang w:eastAsia="es-ES"/>
        </w:rPr>
        <w:t>Este panorama genera un impacto devastador en las condiciones de vida y acelera los procesos de exclusión social. Las familias desarrollan estrategias de supervivencia que incluyen el endeudamiento extremo, la convivencia forzada entre generaciones, la ocupación de viviendas en condiciones precarias y el desplazamiento hacia periferias cada vez más alejadas de los centros urbanos.</w:t>
      </w:r>
    </w:p>
    <w:p w14:paraId="3E87A403" w14:textId="77777777" w:rsidR="008753D5" w:rsidRPr="008753D5" w:rsidRDefault="008753D5" w:rsidP="008753D5">
      <w:pPr>
        <w:spacing w:before="100" w:beforeAutospacing="1" w:after="100" w:afterAutospacing="1" w:line="240" w:lineRule="auto"/>
        <w:jc w:val="both"/>
        <w:rPr>
          <w:rFonts w:eastAsia="Times New Roman" w:cstheme="minorHAnsi"/>
          <w:sz w:val="24"/>
          <w:szCs w:val="24"/>
          <w:lang w:eastAsia="es-ES"/>
        </w:rPr>
      </w:pPr>
      <w:r w:rsidRPr="008753D5">
        <w:rPr>
          <w:rFonts w:eastAsia="Times New Roman" w:cstheme="minorHAnsi"/>
          <w:sz w:val="24"/>
          <w:szCs w:val="24"/>
          <w:lang w:eastAsia="es-ES"/>
        </w:rPr>
        <w:t>La crisis habitacional no es un fenómeno coyuntural ni resultado de fuerzas del mercado inevitables, sino la consecuencia de decisiones políticas concretas que han priorizado la rentabilidad del sector inmobiliario sobre el bienestar social. Comprender esta realidad es fundamental para articular respuestas efectivas que restituyan el carácter social de la vivienda y contribuyan a construir una sociedad más justa y equitativa.</w:t>
      </w:r>
    </w:p>
    <w:p w14:paraId="74ABDB02" w14:textId="77777777" w:rsidR="008753D5" w:rsidRPr="008753D5" w:rsidRDefault="008753D5" w:rsidP="008753D5">
      <w:pPr>
        <w:jc w:val="both"/>
        <w:rPr>
          <w:rFonts w:cstheme="minorHAnsi"/>
        </w:rPr>
      </w:pPr>
    </w:p>
    <w:p w14:paraId="7FFDC659" w14:textId="77777777" w:rsidR="00EA53F2" w:rsidRPr="008753D5" w:rsidRDefault="00EA53F2" w:rsidP="008753D5">
      <w:pPr>
        <w:jc w:val="both"/>
        <w:rPr>
          <w:rFonts w:cstheme="minorHAnsi"/>
        </w:rPr>
      </w:pPr>
      <w:r w:rsidRPr="008753D5">
        <w:rPr>
          <w:rFonts w:cstheme="minorHAnsi"/>
        </w:rPr>
        <w:tab/>
      </w:r>
    </w:p>
    <w:sectPr w:rsidR="00EA53F2" w:rsidRPr="008753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Regular-SC70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77B87"/>
    <w:multiLevelType w:val="hybridMultilevel"/>
    <w:tmpl w:val="9FD66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2B72C4"/>
    <w:multiLevelType w:val="hybridMultilevel"/>
    <w:tmpl w:val="AC26CB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ED80884"/>
    <w:multiLevelType w:val="multilevel"/>
    <w:tmpl w:val="B4E6868C"/>
    <w:lvl w:ilvl="0">
      <w:start w:val="1"/>
      <w:numFmt w:val="decimal"/>
      <w:lvlText w:val="%1."/>
      <w:lvlJc w:val="left"/>
      <w:pPr>
        <w:ind w:left="720" w:hanging="360"/>
      </w:p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50F19F0"/>
    <w:multiLevelType w:val="multilevel"/>
    <w:tmpl w:val="B4E6868C"/>
    <w:lvl w:ilvl="0">
      <w:start w:val="1"/>
      <w:numFmt w:val="decimal"/>
      <w:lvlText w:val="%1."/>
      <w:lvlJc w:val="left"/>
      <w:pPr>
        <w:ind w:left="720" w:hanging="360"/>
      </w:p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5FE"/>
    <w:rsid w:val="002E6CE6"/>
    <w:rsid w:val="00332E38"/>
    <w:rsid w:val="006B76BC"/>
    <w:rsid w:val="007663E6"/>
    <w:rsid w:val="008753D5"/>
    <w:rsid w:val="00911F37"/>
    <w:rsid w:val="009156F0"/>
    <w:rsid w:val="009A034C"/>
    <w:rsid w:val="009D35FE"/>
    <w:rsid w:val="00C571CD"/>
    <w:rsid w:val="00DC349D"/>
    <w:rsid w:val="00EA27CA"/>
    <w:rsid w:val="00EA53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A3748"/>
  <w15:chartTrackingRefBased/>
  <w15:docId w15:val="{5BCDD3AC-E08B-4509-B8B2-1F772537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753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53F2"/>
    <w:pPr>
      <w:ind w:left="720"/>
      <w:contextualSpacing/>
    </w:pPr>
  </w:style>
  <w:style w:type="character" w:customStyle="1" w:styleId="Ttulo1Car">
    <w:name w:val="Título 1 Car"/>
    <w:basedOn w:val="Fuentedeprrafopredeter"/>
    <w:link w:val="Ttulo1"/>
    <w:uiPriority w:val="9"/>
    <w:rsid w:val="008753D5"/>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8753D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4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C016739DDF731468080C40DB447B4A7" ma:contentTypeVersion="20" ma:contentTypeDescription="Crear nuevo documento." ma:contentTypeScope="" ma:versionID="35677238461b393348ade609d90f2cb4">
  <xsd:schema xmlns:xsd="http://www.w3.org/2001/XMLSchema" xmlns:xs="http://www.w3.org/2001/XMLSchema" xmlns:p="http://schemas.microsoft.com/office/2006/metadata/properties" xmlns:ns3="5e79a7a3-a49e-42ae-8c3a-3856f6129b5e" xmlns:ns4="772e7eca-42a7-4275-9b97-d94c846a2617" targetNamespace="http://schemas.microsoft.com/office/2006/metadata/properties" ma:root="true" ma:fieldsID="164c62799455850b834a696405834cd8" ns3:_="" ns4:_="">
    <xsd:import namespace="5e79a7a3-a49e-42ae-8c3a-3856f6129b5e"/>
    <xsd:import namespace="772e7eca-42a7-4275-9b97-d94c846a2617"/>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9a7a3-a49e-42ae-8c3a-3856f6129b5e"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Time" ma:index="11"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2e7eca-42a7-4275-9b97-d94c846a261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72e7eca-42a7-4275-9b97-d94c846a2617" xsi:nil="true"/>
  </documentManagement>
</p:properties>
</file>

<file path=customXml/itemProps1.xml><?xml version="1.0" encoding="utf-8"?>
<ds:datastoreItem xmlns:ds="http://schemas.openxmlformats.org/officeDocument/2006/customXml" ds:itemID="{83CAD828-CA6B-4FC8-9EC8-77397E46C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9a7a3-a49e-42ae-8c3a-3856f6129b5e"/>
    <ds:schemaRef ds:uri="772e7eca-42a7-4275-9b97-d94c846a2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5D4BB5-B04E-4E28-A936-4AEEFB0AF7B7}">
  <ds:schemaRefs>
    <ds:schemaRef ds:uri="http://schemas.microsoft.com/sharepoint/v3/contenttype/forms"/>
  </ds:schemaRefs>
</ds:datastoreItem>
</file>

<file path=customXml/itemProps3.xml><?xml version="1.0" encoding="utf-8"?>
<ds:datastoreItem xmlns:ds="http://schemas.openxmlformats.org/officeDocument/2006/customXml" ds:itemID="{19B74151-1D43-4B91-8442-46DCFB619845}">
  <ds:schemaRefs>
    <ds:schemaRef ds:uri="http://schemas.microsoft.com/office/2006/metadata/properties"/>
    <ds:schemaRef ds:uri="http://schemas.microsoft.com/office/infopath/2007/PartnerControls"/>
    <ds:schemaRef ds:uri="772e7eca-42a7-4275-9b97-d94c846a261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3151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FLORES MARTOS</dc:creator>
  <cp:keywords/>
  <dc:description/>
  <cp:lastModifiedBy>Mónica Prieto Vidal</cp:lastModifiedBy>
  <cp:revision>2</cp:revision>
  <dcterms:created xsi:type="dcterms:W3CDTF">2025-06-26T06:42:00Z</dcterms:created>
  <dcterms:modified xsi:type="dcterms:W3CDTF">2025-06-26T06:42:00Z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0x010100BC016739DDF731468080C40DB447B4A7</vt:lpwstr>
  </property>
</Properties>
</file>